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Nguyen Van A;</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Tien Nguyen.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0939960217</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Nguyen Van A.  Năm sinh:        ....</w:t>
      </w:r>
    </w:p>
    <w:p>
      <w:pPr/>
      <w:r>
        <w:rPr>
          <w:rFonts w:ascii="Times New Roman" w:hAnsi="Times New Roman" w:eastAsia="Times New Roman" w:cs="Times New Roman"/>
          <w:sz w:val="21"/>
          <w:szCs w:val="21"/>
        </w:rPr>
        <w:t xml:space="preserve">CMND số: 1233, Ngày cấp: ............. Nơi cấp: </w:t>
      </w:r>
    </w:p>
    <w:p>
      <w:pPr/>
      <w:r>
        <w:rPr>
          <w:rFonts w:ascii="Times New Roman" w:hAnsi="Times New Roman" w:eastAsia="Times New Roman" w:cs="Times New Roman"/>
          <w:sz w:val="21"/>
          <w:szCs w:val="21"/>
        </w:rPr>
        <w:t xml:space="preserve">Địa chỉ: Văn An, Bến Nghé, 1, TP. Hồ Chí Minh</w:t>
      </w:r>
    </w:p>
    <w:p>
      <w:pPr/>
      <w:r>
        <w:rPr>
          <w:rFonts w:ascii="Times New Roman" w:hAnsi="Times New Roman" w:eastAsia="Times New Roman" w:cs="Times New Roman"/>
          <w:sz w:val="21"/>
          <w:szCs w:val="21"/>
        </w:rPr>
        <w:t xml:space="preserve">Điện thoại: 0999999992</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101. Tổng diện tích sử dụng: 20 m2</w:t>
      </w:r>
    </w:p>
    <w:p>
      <w:pPr>
        <w:jc w:val="both"/>
      </w:pPr>
      <w:r>
        <w:rPr>
          <w:rFonts w:ascii="Times New Roman" w:hAnsi="Times New Roman" w:eastAsia="Times New Roman" w:cs="Times New Roman"/>
          <w:sz w:val="21"/>
          <w:szCs w:val="21"/>
        </w:rPr>
        <w:t xml:space="preserve">Địa chỉ: Văn An, Phường Bến Nghé, Quận 1,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Văn An, Phường Bến Nghé, Quận 1,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7 tháng 4 năm 2025 đến hết ngày 4 tháng 10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2.000.000 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hai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2025-04-07T09:31:25+07:00</dcterms:created>
  <dcterms:modified xsi:type="dcterms:W3CDTF">2025-04-07T09:31:25+07:00</dcterms:modified>
</cp:coreProperties>
</file>

<file path=docProps/custom.xml><?xml version="1.0" encoding="utf-8"?>
<Properties xmlns="http://schemas.openxmlformats.org/officeDocument/2006/custom-properties" xmlns:vt="http://schemas.openxmlformats.org/officeDocument/2006/docPropsVTypes"/>
</file>