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Minh Kha;</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Hữu Lộc.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0909640608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Minh Kha.  Năm sinh: 24/08/2000.</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0369203494</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101. Tổng diện tích sử dụng: 20 m2</w:t>
      </w:r>
    </w:p>
    <w:p>
      <w:pPr>
        <w:jc w:val="both"/>
      </w:pPr>
      <w:r>
        <w:rPr>
          <w:rFonts w:ascii="Times New Roman" w:hAnsi="Times New Roman" w:eastAsia="Times New Roman" w:cs="Times New Roman"/>
          <w:sz w:val="21"/>
          <w:szCs w:val="21"/>
        </w:rPr>
        <w:t xml:space="preserve">Địa chỉ: 22/6 Phú Thuận, Phường Phú Thuận, Quận 7,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22/6 Phú Thuận, Phường Phú Thuận, Quận 7,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30 tháng 5 năm 2023 đến hết ngày 31 tháng 1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4.000.000 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bốn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2025-07-17T22:35:43+07:00</dcterms:created>
  <dcterms:modified xsi:type="dcterms:W3CDTF">2025-07-17T22:35:43+07:00</dcterms:modified>
</cp:coreProperties>
</file>

<file path=docProps/custom.xml><?xml version="1.0" encoding="utf-8"?>
<Properties xmlns="http://schemas.openxmlformats.org/officeDocument/2006/custom-properties" xmlns:vt="http://schemas.openxmlformats.org/officeDocument/2006/docPropsVTypes"/>
</file>